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00</w:t>
      </w:r>
      <w:bookmarkStart w:id="0" w:name="_GoBack"/>
      <w:bookmarkEnd w:id="0"/>
      <w:r>
        <w:rPr>
          <w:rFonts w:hint="eastAsia" w:ascii="仿宋_GB2312" w:eastAsia="仿宋_GB2312"/>
          <w:sz w:val="32"/>
          <w:szCs w:val="32"/>
          <w:lang w:val="en-US" w:eastAsia="zh-CN"/>
        </w:rPr>
        <w:t>3</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上述两宗地块一并整体挂牌出让，</w:t>
      </w:r>
      <w:r>
        <w:rPr>
          <w:rFonts w:hint="eastAsia" w:ascii="仿宋_GB2312" w:hAnsi="仿宋_GB2312" w:eastAsia="仿宋_GB2312" w:cs="仿宋_GB2312"/>
          <w:sz w:val="32"/>
          <w:szCs w:val="32"/>
        </w:rPr>
        <w:t>挂牌起始价为人民币</w:t>
      </w:r>
      <w:r>
        <w:rPr>
          <w:rFonts w:hint="eastAsia" w:ascii="仿宋_GB2312" w:hAnsi="仿宋" w:eastAsia="仿宋_GB2312"/>
          <w:sz w:val="32"/>
          <w:szCs w:val="32"/>
          <w:lang w:val="en-US" w:eastAsia="zh-CN"/>
        </w:rPr>
        <w:t>2580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hAnsi="仿宋_GB2312" w:cs="仿宋_GB2312"/>
          <w:szCs w:val="32"/>
          <w:highlight w:val="none"/>
          <w:lang w:val="en-US" w:eastAsia="zh-CN"/>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774</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5.至报名日止仍</w:t>
      </w:r>
      <w:r>
        <w:rPr>
          <w:rFonts w:hint="eastAsia" w:ascii="仿宋" w:hAnsi="仿宋" w:eastAsia="仿宋"/>
          <w:sz w:val="32"/>
          <w:szCs w:val="32"/>
        </w:rPr>
        <w:t>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35078万元</w:t>
      </w:r>
      <w:r>
        <w:rPr>
          <w:rFonts w:hint="eastAsia" w:ascii="仿宋_GB2312" w:hAnsi="宋体" w:eastAsia="仿宋_GB2312" w:cs="宋体"/>
          <w:color w:val="auto"/>
          <w:kern w:val="0"/>
          <w:sz w:val="32"/>
          <w:szCs w:val="32"/>
        </w:rPr>
        <w:t>（含地价）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kern w:val="2"/>
          <w:sz w:val="32"/>
          <w:szCs w:val="32"/>
          <w:lang w:val="en-US" w:eastAsia="zh-CN" w:bidi="ar-SA"/>
        </w:rPr>
        <w:t>（二）竞得人在用地红线内开发建设必须符合城市规划要求，必须按《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10047</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）竞买人须提交惠城区发改局出具的与该宗地块规划确定的产业类型一致的优先发展产业项目文件。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报总平面图的主要技术经济指标：规划布局2栋厂房，建筑层数地上最高6层，地下1层，计算指标用地面积25980平方米，计容积率总建筑面积50747.25平方米，容积率2.41，建筑系数38.11%，绿地率15%，机动车停车位250个（全为地下）。各项指标满足《建设用地规划设计条件》（PB20210047号)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（六）招商条件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13502元/平方米，土地产出率（工业产值）不低于23628元/平方米/年，税收产出不低于1168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pStyle w:val="2"/>
        <w:rPr>
          <w:rFonts w:hint="default"/>
          <w:lang w:val="en-US" w:eastAsia="zh-CN"/>
        </w:rPr>
      </w:pPr>
      <w:r>
        <w:rPr>
          <w:rFonts w:hint="eastAsia" w:ascii="仿宋_GB2312" w:hAnsi="仿宋_GB2312" w:eastAsia="仿宋_GB2312" w:cs="仿宋_GB2312"/>
          <w:b w:val="0"/>
          <w:bCs w:val="0"/>
          <w:color w:val="000000"/>
          <w:kern w:val="0"/>
          <w:sz w:val="32"/>
          <w:szCs w:val="32"/>
          <w:lang w:val="en-US" w:eastAsia="zh-CN"/>
        </w:rPr>
        <w:t xml:space="preserve"> 竞得人需与惠州市惠城区高新科技产业园管理委员会签订《项目实施监管协议书》并完成监管协议公证手续。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签订《项目</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监管协议书》，并由</w:t>
      </w:r>
      <w:r>
        <w:rPr>
          <w:rFonts w:hint="eastAsia" w:ascii="仿宋_GB2312" w:hAnsi="仿宋_GB2312" w:eastAsia="仿宋_GB2312" w:cs="仿宋_GB2312"/>
          <w:b w:val="0"/>
          <w:bCs w:val="0"/>
          <w:color w:val="000000"/>
          <w:kern w:val="0"/>
          <w:sz w:val="32"/>
          <w:szCs w:val="32"/>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2022年1月17日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7"/>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122"/>
        <w:gridCol w:w="1615"/>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122"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615"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vMerge w:val="restart"/>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GP2022-3</w:t>
            </w:r>
          </w:p>
        </w:tc>
        <w:tc>
          <w:tcPr>
            <w:tcW w:w="69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cs="Times New Roman"/>
                <w:szCs w:val="21"/>
                <w:lang w:val="en-US" w:eastAsia="zh-CN"/>
              </w:rPr>
              <w:t>惠城区水口青塘湖片区JD-117-15</w:t>
            </w:r>
            <w:r>
              <w:rPr>
                <w:rFonts w:hint="eastAsia" w:ascii="仿宋_GB2312" w:hAnsi="Times New Roman" w:eastAsia="仿宋_GB2312" w:cs="Times New Roman"/>
                <w:szCs w:val="21"/>
                <w:lang w:eastAsia="zh-CN"/>
              </w:rPr>
              <w:t>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JD-117-15</w:t>
            </w:r>
          </w:p>
        </w:tc>
        <w:tc>
          <w:tcPr>
            <w:tcW w:w="570" w:type="dxa"/>
            <w:tcMar>
              <w:left w:w="0" w:type="dxa"/>
              <w:right w:w="0" w:type="dxa"/>
            </w:tcMar>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15060.72</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21096</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2.0-3.0</w:t>
            </w:r>
          </w:p>
        </w:tc>
        <w:tc>
          <w:tcPr>
            <w:tcW w:w="1122"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42192-63288（其中配套设施面积≥100）</w:t>
            </w:r>
          </w:p>
        </w:tc>
        <w:tc>
          <w:tcPr>
            <w:tcW w:w="1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电气机械及器材制造业用地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vMerge w:val="continue"/>
            <w:tcMar>
              <w:left w:w="0" w:type="dxa"/>
              <w:right w:w="0" w:type="dxa"/>
            </w:tcMar>
            <w:vAlign w:val="center"/>
          </w:tcPr>
          <w:p>
            <w:pPr>
              <w:jc w:val="center"/>
              <w:rPr>
                <w:rFonts w:hint="eastAsia" w:ascii="仿宋_GB2312" w:hAnsi="Times New Roman" w:eastAsia="仿宋_GB2312" w:cs="Times New Roman"/>
                <w:kern w:val="2"/>
                <w:sz w:val="21"/>
                <w:szCs w:val="21"/>
                <w:lang w:val="en-US" w:eastAsia="zh-CN" w:bidi="ar-SA"/>
              </w:rPr>
            </w:pPr>
          </w:p>
        </w:tc>
        <w:tc>
          <w:tcPr>
            <w:tcW w:w="690" w:type="dxa"/>
            <w:vAlign w:val="center"/>
          </w:tcPr>
          <w:p>
            <w:pPr>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惠城区水口青塘湖片区JD-117-08-01地块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JD-117-08-01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1790.26</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4884</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default"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2.0-3.0</w:t>
            </w:r>
          </w:p>
        </w:tc>
        <w:tc>
          <w:tcPr>
            <w:tcW w:w="1122"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9768-14652</w:t>
            </w:r>
            <w:r>
              <w:rPr>
                <w:rFonts w:hint="eastAsia" w:ascii="仿宋_GB2312" w:hAnsi="Times New Roman" w:eastAsia="仿宋_GB2312" w:cs="Times New Roman"/>
                <w:szCs w:val="21"/>
                <w:lang w:val="en-US" w:eastAsia="zh-CN"/>
              </w:rPr>
              <w:br w:type="textWrapping"/>
            </w:r>
            <w:r>
              <w:rPr>
                <w:rFonts w:hint="eastAsia" w:ascii="仿宋_GB2312" w:hAnsi="Times New Roman" w:eastAsia="仿宋_GB2312" w:cs="Times New Roman"/>
                <w:szCs w:val="21"/>
                <w:lang w:val="en-US" w:eastAsia="zh-CN"/>
              </w:rPr>
              <w:t>（其中配套设施面积≥65）</w:t>
            </w:r>
          </w:p>
        </w:tc>
        <w:tc>
          <w:tcPr>
            <w:tcW w:w="1615"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行政办公及生活服务设施</w:t>
            </w:r>
            <w:r>
              <w:rPr>
                <w:rFonts w:hint="eastAsia" w:ascii="仿宋_GB2312" w:hAnsi="Times New Roman" w:eastAsia="仿宋_GB2312" w:cs="Times New Roman"/>
                <w:szCs w:val="21"/>
                <w:lang w:eastAsia="zh-CN"/>
              </w:rPr>
              <w:t>每100平方米计容积率</w:t>
            </w:r>
            <w:r>
              <w:rPr>
                <w:rFonts w:hint="eastAsia" w:ascii="仿宋_GB2312" w:hAnsi="Times New Roman" w:eastAsia="仿宋_GB2312" w:cs="Times New Roman"/>
                <w:szCs w:val="21"/>
                <w:lang w:val="en-US" w:eastAsia="zh-CN"/>
              </w:rPr>
              <w:t>建筑</w:t>
            </w:r>
            <w:r>
              <w:rPr>
                <w:rFonts w:hint="eastAsia" w:ascii="仿宋_GB2312" w:hAnsi="Times New Roman" w:eastAsia="仿宋_GB2312" w:cs="Times New Roman"/>
                <w:szCs w:val="21"/>
                <w:lang w:eastAsia="zh-CN"/>
              </w:rPr>
              <w:t>面积≥1个，</w:t>
            </w:r>
            <w:r>
              <w:rPr>
                <w:rFonts w:hint="eastAsia" w:ascii="仿宋_GB2312" w:hAnsi="Times New Roman" w:eastAsia="仿宋_GB2312" w:cs="Times New Roman"/>
                <w:szCs w:val="21"/>
                <w:lang w:val="en-US" w:eastAsia="zh-CN"/>
              </w:rPr>
              <w:t>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Cs w:val="21"/>
                <w:lang w:val="en-US" w:eastAsia="zh-CN"/>
              </w:rPr>
              <w:t>电气机械及器材制造业用地</w:t>
            </w:r>
          </w:p>
        </w:tc>
        <w:tc>
          <w:tcPr>
            <w:tcW w:w="670" w:type="dxa"/>
            <w:vAlign w:val="center"/>
          </w:tcPr>
          <w:p>
            <w:pPr>
              <w:jc w:val="center"/>
              <w:rPr>
                <w:rFonts w:hint="eastAsia" w:ascii="仿宋_GB2312" w:hAnsi="Times New Roman" w:eastAsia="仿宋_GB2312" w:cs="Times New Roman"/>
                <w:szCs w:val="21"/>
                <w:lang w:eastAsia="zh-CN"/>
              </w:rPr>
            </w:pPr>
            <w:r>
              <w:rPr>
                <w:rFonts w:hint="eastAsia" w:ascii="仿宋_GB2312" w:hAnsi="Times New Roman" w:eastAsia="仿宋_GB2312" w:cs="Times New Roman"/>
                <w:szCs w:val="21"/>
                <w:lang w:val="en-US" w:eastAsia="zh-CN"/>
              </w:rPr>
              <w:t>5</w:t>
            </w:r>
            <w:r>
              <w:rPr>
                <w:rFonts w:hint="eastAsia" w:ascii="仿宋_GB2312" w:hAnsi="Times New Roman" w:eastAsia="仿宋_GB2312" w:cs="Times New Roman"/>
                <w:szCs w:val="21"/>
                <w:lang w:eastAsia="zh-CN"/>
              </w:rPr>
              <w:t>0年</w:t>
            </w:r>
          </w:p>
          <w:p>
            <w:pPr>
              <w:jc w:val="center"/>
              <w:rPr>
                <w:rFonts w:hint="eastAsia" w:ascii="仿宋_GB2312" w:hAnsi="Times New Roman" w:eastAsia="仿宋_GB2312" w:cs="Times New Roman"/>
                <w:kern w:val="2"/>
                <w:sz w:val="21"/>
                <w:szCs w:val="21"/>
                <w:lang w:val="en-US" w:eastAsia="zh-CN" w:bidi="ar-SA"/>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separate"/>
    </w:r>
    <w:r>
      <w:rPr>
        <w:rStyle w:val="9"/>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38625B5"/>
    <w:rsid w:val="045C3FD8"/>
    <w:rsid w:val="07386886"/>
    <w:rsid w:val="07895069"/>
    <w:rsid w:val="082B1937"/>
    <w:rsid w:val="0D167AC3"/>
    <w:rsid w:val="0D430223"/>
    <w:rsid w:val="0DF23899"/>
    <w:rsid w:val="0E7A65F6"/>
    <w:rsid w:val="0F4B1872"/>
    <w:rsid w:val="101D3BC2"/>
    <w:rsid w:val="10BD4DFA"/>
    <w:rsid w:val="13523891"/>
    <w:rsid w:val="137618AF"/>
    <w:rsid w:val="13D50F1B"/>
    <w:rsid w:val="161D2710"/>
    <w:rsid w:val="167673A1"/>
    <w:rsid w:val="16AA6FD1"/>
    <w:rsid w:val="16D56AAC"/>
    <w:rsid w:val="17AA0480"/>
    <w:rsid w:val="184110E0"/>
    <w:rsid w:val="188D227F"/>
    <w:rsid w:val="192F711A"/>
    <w:rsid w:val="1969140B"/>
    <w:rsid w:val="1A0B2C56"/>
    <w:rsid w:val="1AA5305E"/>
    <w:rsid w:val="1ADB0E54"/>
    <w:rsid w:val="1B986AA4"/>
    <w:rsid w:val="1C5904D7"/>
    <w:rsid w:val="1CA77577"/>
    <w:rsid w:val="1CE22B83"/>
    <w:rsid w:val="1DE30B94"/>
    <w:rsid w:val="1E862B6D"/>
    <w:rsid w:val="1F7C2358"/>
    <w:rsid w:val="1FB07F91"/>
    <w:rsid w:val="20ED2229"/>
    <w:rsid w:val="22890C8D"/>
    <w:rsid w:val="23A027B1"/>
    <w:rsid w:val="27A65DB8"/>
    <w:rsid w:val="28774868"/>
    <w:rsid w:val="2A6B42FA"/>
    <w:rsid w:val="2A870225"/>
    <w:rsid w:val="2B5D4967"/>
    <w:rsid w:val="304C7078"/>
    <w:rsid w:val="31CE6D72"/>
    <w:rsid w:val="33861F14"/>
    <w:rsid w:val="35335FA2"/>
    <w:rsid w:val="35563284"/>
    <w:rsid w:val="36061489"/>
    <w:rsid w:val="37607760"/>
    <w:rsid w:val="380440B7"/>
    <w:rsid w:val="381E07C6"/>
    <w:rsid w:val="38BD14D1"/>
    <w:rsid w:val="392163CD"/>
    <w:rsid w:val="3C13026D"/>
    <w:rsid w:val="3DDC60B5"/>
    <w:rsid w:val="40231E47"/>
    <w:rsid w:val="40363F40"/>
    <w:rsid w:val="409256E4"/>
    <w:rsid w:val="40B33D72"/>
    <w:rsid w:val="411B39E1"/>
    <w:rsid w:val="42CE6157"/>
    <w:rsid w:val="43706132"/>
    <w:rsid w:val="44966F93"/>
    <w:rsid w:val="45C047BF"/>
    <w:rsid w:val="492E6B33"/>
    <w:rsid w:val="4A1228DB"/>
    <w:rsid w:val="4A1B1ECC"/>
    <w:rsid w:val="4AE74DD0"/>
    <w:rsid w:val="4C2E14D5"/>
    <w:rsid w:val="4C880054"/>
    <w:rsid w:val="4EC91786"/>
    <w:rsid w:val="4F861E18"/>
    <w:rsid w:val="538C505C"/>
    <w:rsid w:val="540106D5"/>
    <w:rsid w:val="54127BF6"/>
    <w:rsid w:val="546946EF"/>
    <w:rsid w:val="565101CA"/>
    <w:rsid w:val="567F481B"/>
    <w:rsid w:val="56F30E19"/>
    <w:rsid w:val="578E459E"/>
    <w:rsid w:val="57A3234F"/>
    <w:rsid w:val="57C844D5"/>
    <w:rsid w:val="592771FD"/>
    <w:rsid w:val="596A13D8"/>
    <w:rsid w:val="5A893EB0"/>
    <w:rsid w:val="5AF873B7"/>
    <w:rsid w:val="5D241B5A"/>
    <w:rsid w:val="5D471E01"/>
    <w:rsid w:val="5E3B0440"/>
    <w:rsid w:val="5EA440CB"/>
    <w:rsid w:val="606821F3"/>
    <w:rsid w:val="63804E44"/>
    <w:rsid w:val="64D925C4"/>
    <w:rsid w:val="66C22F70"/>
    <w:rsid w:val="68527CA2"/>
    <w:rsid w:val="692A6240"/>
    <w:rsid w:val="6B104B16"/>
    <w:rsid w:val="6D417569"/>
    <w:rsid w:val="6EB83079"/>
    <w:rsid w:val="6F4B3B48"/>
    <w:rsid w:val="6FF0551C"/>
    <w:rsid w:val="700A52E4"/>
    <w:rsid w:val="70C97C50"/>
    <w:rsid w:val="727D44B4"/>
    <w:rsid w:val="72BA0C9A"/>
    <w:rsid w:val="736D1677"/>
    <w:rsid w:val="73BE7EBD"/>
    <w:rsid w:val="748840AA"/>
    <w:rsid w:val="761352C3"/>
    <w:rsid w:val="77DD303C"/>
    <w:rsid w:val="782A0826"/>
    <w:rsid w:val="786F59A5"/>
    <w:rsid w:val="79E82C45"/>
    <w:rsid w:val="7A845A06"/>
    <w:rsid w:val="7ACA2E6E"/>
    <w:rsid w:val="7B832F79"/>
    <w:rsid w:val="7D060077"/>
    <w:rsid w:val="7EDA014E"/>
    <w:rsid w:val="7F252698"/>
    <w:rsid w:val="7F80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2022-01-17T08:08:05Z</cp:lastPrinted>
  <dcterms:modified xsi:type="dcterms:W3CDTF">2022-01-17T08:08:20Z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A29D6ACCD7E941CAA6D12F4C0AECFC67</vt:lpwstr>
  </property>
</Properties>
</file>